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4661" w:type="dxa"/>
        <w:jc w:val="center"/>
        <w:tblLayout w:type="autofit"/>
        <w:tblCellMar>
          <w:top w:w="0" w:type="dxa"/>
          <w:left w:w="108" w:type="dxa"/>
          <w:bottom w:w="0" w:type="dxa"/>
          <w:right w:w="108" w:type="dxa"/>
        </w:tblCellMar>
      </w:tblPr>
      <w:tblGrid>
        <w:gridCol w:w="528"/>
        <w:gridCol w:w="877"/>
        <w:gridCol w:w="1194"/>
        <w:gridCol w:w="484"/>
        <w:gridCol w:w="2871"/>
        <w:gridCol w:w="484"/>
        <w:gridCol w:w="1486"/>
        <w:gridCol w:w="2648"/>
        <w:gridCol w:w="265"/>
        <w:gridCol w:w="292"/>
        <w:gridCol w:w="300"/>
        <w:gridCol w:w="473"/>
        <w:gridCol w:w="439"/>
        <w:gridCol w:w="2320"/>
      </w:tblGrid>
      <w:tr>
        <w:tblPrEx>
          <w:tblCellMar>
            <w:top w:w="0" w:type="dxa"/>
            <w:left w:w="108" w:type="dxa"/>
            <w:bottom w:w="0" w:type="dxa"/>
            <w:right w:w="108" w:type="dxa"/>
          </w:tblCellMar>
        </w:tblPrEx>
        <w:trPr>
          <w:trHeight w:val="408" w:hRule="atLeast"/>
          <w:jc w:val="center"/>
        </w:trPr>
        <w:tc>
          <w:tcPr>
            <w:tcW w:w="14661" w:type="dxa"/>
            <w:gridSpan w:val="14"/>
            <w:tcBorders>
              <w:top w:val="nil"/>
              <w:left w:val="nil"/>
              <w:bottom w:val="nil"/>
              <w:right w:val="nil"/>
            </w:tcBorders>
            <w:shd w:val="clear" w:color="auto" w:fill="auto"/>
            <w:vAlign w:val="center"/>
          </w:tcPr>
          <w:p>
            <w:pPr>
              <w:widowControl/>
              <w:jc w:val="center"/>
              <w:rPr>
                <w:rFonts w:ascii="Courier New" w:hAnsi="Courier New" w:eastAsia="宋体" w:cs="宋体"/>
                <w:b/>
                <w:bCs/>
                <w:kern w:val="0"/>
                <w:sz w:val="32"/>
                <w:szCs w:val="32"/>
              </w:rPr>
            </w:pPr>
            <w:r>
              <w:rPr>
                <w:rFonts w:ascii="Courier New" w:hAnsi="Courier New" w:eastAsia="宋体" w:cs="宋体"/>
                <w:b/>
                <w:bCs/>
                <w:kern w:val="0"/>
                <w:sz w:val="32"/>
                <w:szCs w:val="32"/>
              </w:rPr>
              <w:t>项目支出绩效自评表</w:t>
            </w:r>
            <w:bookmarkStart w:id="0" w:name="_GoBack"/>
            <w:bookmarkEnd w:id="0"/>
          </w:p>
        </w:tc>
      </w:tr>
      <w:tr>
        <w:tblPrEx>
          <w:tblCellMar>
            <w:top w:w="0" w:type="dxa"/>
            <w:left w:w="108" w:type="dxa"/>
            <w:bottom w:w="0" w:type="dxa"/>
            <w:right w:w="108" w:type="dxa"/>
          </w:tblCellMar>
        </w:tblPrEx>
        <w:trPr>
          <w:trHeight w:val="288" w:hRule="atLeast"/>
          <w:jc w:val="center"/>
        </w:trPr>
        <w:tc>
          <w:tcPr>
            <w:tcW w:w="14661" w:type="dxa"/>
            <w:gridSpan w:val="14"/>
            <w:tcBorders>
              <w:top w:val="nil"/>
              <w:left w:val="nil"/>
              <w:bottom w:val="nil"/>
              <w:right w:val="nil"/>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（2022年度）</w:t>
            </w:r>
          </w:p>
        </w:tc>
      </w:tr>
      <w:tr>
        <w:tblPrEx>
          <w:tblCellMar>
            <w:top w:w="0" w:type="dxa"/>
            <w:left w:w="108" w:type="dxa"/>
            <w:bottom w:w="0" w:type="dxa"/>
            <w:right w:w="108" w:type="dxa"/>
          </w:tblCellMar>
        </w:tblPrEx>
        <w:trPr>
          <w:trHeight w:val="288" w:hRule="atLeast"/>
          <w:jc w:val="center"/>
        </w:trPr>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center"/>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1706"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r>
      <w:tr>
        <w:tblPrEx>
          <w:tblCellMar>
            <w:top w:w="0" w:type="dxa"/>
            <w:left w:w="108" w:type="dxa"/>
            <w:bottom w:w="0" w:type="dxa"/>
            <w:right w:w="108" w:type="dxa"/>
          </w:tblCellMar>
        </w:tblPrEx>
        <w:trPr>
          <w:trHeight w:val="288" w:hRule="atLeast"/>
          <w:jc w:val="center"/>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项目名称</w:t>
            </w:r>
          </w:p>
        </w:tc>
        <w:tc>
          <w:tcPr>
            <w:tcW w:w="13266"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设备购置-双一流交叉学科设备购置（双一流学科建设）</w:t>
            </w:r>
          </w:p>
        </w:tc>
      </w:tr>
      <w:tr>
        <w:tblPrEx>
          <w:tblCellMar>
            <w:top w:w="0" w:type="dxa"/>
            <w:left w:w="108" w:type="dxa"/>
            <w:bottom w:w="0" w:type="dxa"/>
            <w:right w:w="108" w:type="dxa"/>
          </w:tblCellMar>
        </w:tblPrEx>
        <w:trPr>
          <w:trHeight w:val="288" w:hRule="atLeast"/>
          <w:jc w:val="center"/>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主管部门</w:t>
            </w: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北京市教育委员会</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实施单位</w:t>
            </w:r>
          </w:p>
        </w:tc>
        <w:tc>
          <w:tcPr>
            <w:tcW w:w="352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首都师范大学</w:t>
            </w:r>
          </w:p>
        </w:tc>
      </w:tr>
      <w:tr>
        <w:tblPrEx>
          <w:tblCellMar>
            <w:top w:w="0" w:type="dxa"/>
            <w:left w:w="108" w:type="dxa"/>
            <w:bottom w:w="0" w:type="dxa"/>
            <w:right w:w="108" w:type="dxa"/>
          </w:tblCellMar>
        </w:tblPrEx>
        <w:trPr>
          <w:trHeight w:val="288" w:hRule="atLeast"/>
          <w:jc w:val="center"/>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项目负责人</w:t>
            </w: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蔡可</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联系电话</w:t>
            </w:r>
          </w:p>
        </w:tc>
        <w:tc>
          <w:tcPr>
            <w:tcW w:w="352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18611169710</w:t>
            </w:r>
          </w:p>
        </w:tc>
      </w:tr>
      <w:tr>
        <w:tblPrEx>
          <w:tblCellMar>
            <w:top w:w="0" w:type="dxa"/>
            <w:left w:w="108" w:type="dxa"/>
            <w:bottom w:w="0" w:type="dxa"/>
            <w:right w:w="108" w:type="dxa"/>
          </w:tblCellMar>
        </w:tblPrEx>
        <w:trPr>
          <w:trHeight w:val="564"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项目资金</w:t>
            </w:r>
            <w:r>
              <w:rPr>
                <w:rFonts w:hint="eastAsia" w:ascii="仿宋_GB2312" w:hAnsi="宋体" w:eastAsia="仿宋_GB2312" w:cs="宋体"/>
                <w:color w:val="000000"/>
                <w:kern w:val="0"/>
                <w:sz w:val="22"/>
              </w:rPr>
              <w:br w:type="textWrapping"/>
            </w:r>
            <w:r>
              <w:rPr>
                <w:rFonts w:hint="eastAsia" w:ascii="仿宋_GB2312" w:hAnsi="宋体" w:eastAsia="仿宋_GB2312" w:cs="宋体"/>
                <w:color w:val="000000"/>
                <w:kern w:val="0"/>
                <w:sz w:val="22"/>
              </w:rPr>
              <w:t>（万元）</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年初预算数</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全年预算数</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全年执行数</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分值</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执行率</w:t>
            </w:r>
          </w:p>
        </w:tc>
        <w:tc>
          <w:tcPr>
            <w:tcW w:w="17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得分</w:t>
            </w:r>
          </w:p>
        </w:tc>
      </w:tr>
      <w:tr>
        <w:tblPrEx>
          <w:tblCellMar>
            <w:top w:w="0" w:type="dxa"/>
            <w:left w:w="108" w:type="dxa"/>
            <w:bottom w:w="0" w:type="dxa"/>
            <w:right w:w="108" w:type="dxa"/>
          </w:tblCellMar>
        </w:tblPrEx>
        <w:trPr>
          <w:trHeight w:val="288"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仿宋_GB2312" w:hAnsi="宋体" w:eastAsia="仿宋_GB2312" w:cs="宋体"/>
                <w:color w:val="000000"/>
                <w:kern w:val="0"/>
                <w:sz w:val="22"/>
              </w:rPr>
            </w:pPr>
            <w:r>
              <w:rPr>
                <w:rFonts w:hint="eastAsia" w:ascii="仿宋_GB2312" w:hAnsi="宋体" w:eastAsia="仿宋_GB2312" w:cs="宋体"/>
                <w:color w:val="000000"/>
                <w:kern w:val="0"/>
                <w:sz w:val="22"/>
              </w:rPr>
              <w:t>年度资金总额</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298.000000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298.000000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296.164900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99.38%</w:t>
            </w:r>
          </w:p>
        </w:tc>
        <w:tc>
          <w:tcPr>
            <w:tcW w:w="17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9.94</w:t>
            </w:r>
          </w:p>
        </w:tc>
      </w:tr>
      <w:tr>
        <w:tblPrEx>
          <w:tblCellMar>
            <w:top w:w="0" w:type="dxa"/>
            <w:left w:w="108" w:type="dxa"/>
            <w:bottom w:w="0" w:type="dxa"/>
            <w:right w:w="108" w:type="dxa"/>
          </w:tblCellMar>
        </w:tblPrEx>
        <w:trPr>
          <w:trHeight w:val="279"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其中：当年财政拨款</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298.000000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298.000000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296.164900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99.38%</w:t>
            </w:r>
          </w:p>
        </w:tc>
        <w:tc>
          <w:tcPr>
            <w:tcW w:w="17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r>
      <w:tr>
        <w:tblPrEx>
          <w:tblCellMar>
            <w:top w:w="0" w:type="dxa"/>
            <w:left w:w="108" w:type="dxa"/>
            <w:bottom w:w="0" w:type="dxa"/>
            <w:right w:w="108" w:type="dxa"/>
          </w:tblCellMar>
        </w:tblPrEx>
        <w:trPr>
          <w:trHeight w:val="288"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      上年结转资金</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17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r>
      <w:tr>
        <w:tblPrEx>
          <w:tblCellMar>
            <w:top w:w="0" w:type="dxa"/>
            <w:left w:w="108" w:type="dxa"/>
            <w:bottom w:w="0" w:type="dxa"/>
            <w:right w:w="108" w:type="dxa"/>
          </w:tblCellMar>
        </w:tblPrEx>
        <w:trPr>
          <w:trHeight w:val="288"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  其他资金</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170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r>
      <w:tr>
        <w:tblPrEx>
          <w:tblCellMar>
            <w:top w:w="0" w:type="dxa"/>
            <w:left w:w="108" w:type="dxa"/>
            <w:bottom w:w="0" w:type="dxa"/>
            <w:right w:w="108" w:type="dxa"/>
          </w:tblCellMar>
        </w:tblPrEx>
        <w:trPr>
          <w:trHeight w:val="1492"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年度总体目标</w:t>
            </w:r>
          </w:p>
        </w:tc>
        <w:tc>
          <w:tcPr>
            <w:tcW w:w="0" w:type="auto"/>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预期目标</w:t>
            </w:r>
          </w:p>
        </w:tc>
        <w:tc>
          <w:tcPr>
            <w:tcW w:w="6887"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实际完成情况</w:t>
            </w:r>
          </w:p>
        </w:tc>
      </w:tr>
      <w:tr>
        <w:tblPrEx>
          <w:tblCellMar>
            <w:top w:w="0" w:type="dxa"/>
            <w:left w:w="108" w:type="dxa"/>
            <w:bottom w:w="0" w:type="dxa"/>
            <w:right w:w="108" w:type="dxa"/>
          </w:tblCellMar>
        </w:tblPrEx>
        <w:trPr>
          <w:trHeight w:val="372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 xml:space="preserve">  人工智能创新教育示范空间是集课程、项目、创新方法、团队合作、新技术、多媒体于一体的生态化创新人才培养方案，在充分调研创新教育最新进展的基础上，运用现有技术手段构建实验室环境，鼓励和引导学生借助人工智能等技术开展创新实践，完善我国高素质人才培养体系的建设，具有较强的现实意义和可行性。建设人工智能创新教育实验室和相关教室有着完善的软硬件配套设施、丰富的课程体系、特色创新项目以及教师培训课程，能够在广大中小学进行推广普及，成为学校的标准配置，具有广阔的市场前景，能够创造良好的经济效益。通过建设中小学人工智能创新教育实验室，能够激发广大中小学生对人工智能为代表的高新技术的兴趣，培养未来技术进步的领军人才，满足我国人工智能领域的人才需求。与此同时，在实验室的项目式课程与实践中，还能够培养学生的创新能力和实践能力，增强人工智能技术的应用能力。实验室的实施能够完善学校的育人功能，提升学生的综合素质，为综合性学生评价提供支撑。人工智能创新教育实验室是教育现代化建设的重要环节，具有重要的现实意义和社会效益。</w:t>
            </w:r>
          </w:p>
        </w:tc>
        <w:tc>
          <w:tcPr>
            <w:tcW w:w="6887"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设备购置-双一流交叉学科设备购置（双一流学科建设）项目批复后立即开始进行方案设计、意见征求、细节确定、采购建设等工作，本项目于2022年5月完成招标采购工作，于9月开学正式投入使用，现已圆满完成项目全部建设工作任务。该项目完成建设人工智能创新教育示范空间4间（校本部教二楼213、215、217、219），由于部分智慧教学设备可灵活移动，根据教育教学需要，依托于智慧设备，将智慧教学功能复合于普通公共教室，打造4+X人工智能创新教育示范区。空间建设集新课程、新教学、新技术于一体，运用现代技术手段构建教师教育环境与生态，引导师范生熟悉常见软件平台与技术产品，依托完善的软硬件配套设施，如多媒体智能大屏交互音视频设备设施、教室录播直播设备、教室环境智能物联设备、相关教育教学平台及软件、虚拟实验、人工智能项目学习课程、可拼搭机器人及相应人工智能识别工具等，为教学改革的常态化提供环境基础，借助人工智能等技术开展教学新模式专题课题与项目，深化面向未来的卓越教师培养。</w:t>
            </w:r>
          </w:p>
        </w:tc>
      </w:tr>
      <w:tr>
        <w:tblPrEx>
          <w:tblCellMar>
            <w:top w:w="0" w:type="dxa"/>
            <w:left w:w="108" w:type="dxa"/>
            <w:bottom w:w="0" w:type="dxa"/>
            <w:right w:w="108" w:type="dxa"/>
          </w:tblCellMar>
        </w:tblPrEx>
        <w:trPr>
          <w:trHeight w:val="660"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绩效指标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一级指标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二级指标</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三级指标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年度指标值</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实际完成值</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分值</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得分</w:t>
            </w:r>
          </w:p>
        </w:tc>
        <w:tc>
          <w:tcPr>
            <w:tcW w:w="24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偏差原因分析及改进措施</w:t>
            </w:r>
          </w:p>
        </w:tc>
      </w:tr>
      <w:tr>
        <w:tblPrEx>
          <w:tblCellMar>
            <w:top w:w="0" w:type="dxa"/>
            <w:left w:w="108" w:type="dxa"/>
            <w:bottom w:w="0" w:type="dxa"/>
            <w:right w:w="108" w:type="dxa"/>
          </w:tblCellMar>
        </w:tblPrEx>
        <w:trPr>
          <w:trHeight w:val="69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产出指标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数量指标</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建设人工智能创新教育实验室及相关教室</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4个</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4个</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w:t>
            </w:r>
          </w:p>
        </w:tc>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无</w:t>
            </w:r>
          </w:p>
        </w:tc>
      </w:tr>
      <w:tr>
        <w:tblPrEx>
          <w:tblCellMar>
            <w:top w:w="0" w:type="dxa"/>
            <w:left w:w="108" w:type="dxa"/>
            <w:bottom w:w="0" w:type="dxa"/>
            <w:right w:w="108" w:type="dxa"/>
          </w:tblCellMar>
        </w:tblPrEx>
        <w:trPr>
          <w:trHeight w:val="93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质量指标</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设备验收通过率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设备验收率达100%。</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w:t>
            </w:r>
          </w:p>
        </w:tc>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无</w:t>
            </w:r>
          </w:p>
        </w:tc>
      </w:tr>
      <w:tr>
        <w:tblPrEx>
          <w:tblCellMar>
            <w:top w:w="0" w:type="dxa"/>
            <w:left w:w="108" w:type="dxa"/>
            <w:bottom w:w="0" w:type="dxa"/>
            <w:right w:w="108" w:type="dxa"/>
          </w:tblCellMar>
        </w:tblPrEx>
        <w:trPr>
          <w:trHeight w:val="99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时效指标</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项目完成时间</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≤1年</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项目于2022年9月前全部建设完毕并已投入使用。</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无</w:t>
            </w:r>
          </w:p>
        </w:tc>
      </w:tr>
      <w:tr>
        <w:tblPrEx>
          <w:tblCellMar>
            <w:top w:w="0" w:type="dxa"/>
            <w:left w:w="108" w:type="dxa"/>
            <w:bottom w:w="0" w:type="dxa"/>
            <w:right w:w="108" w:type="dxa"/>
          </w:tblCellMar>
        </w:tblPrEx>
        <w:trPr>
          <w:trHeight w:val="78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成本指标</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项目实施成本</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≤298万元</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实际实施成本296.1649万元，在预算内完成项目。</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无</w:t>
            </w:r>
          </w:p>
        </w:tc>
      </w:tr>
      <w:tr>
        <w:tblPrEx>
          <w:tblCellMar>
            <w:top w:w="0" w:type="dxa"/>
            <w:left w:w="108" w:type="dxa"/>
            <w:bottom w:w="0" w:type="dxa"/>
            <w:right w:w="108" w:type="dxa"/>
          </w:tblCellMar>
        </w:tblPrEx>
        <w:trPr>
          <w:trHeight w:val="16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效益指标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经济效益指标</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人工智能创新教育实验室有着完善的软硬件配套设施、丰富的课程体系、特色创新项目以及教师培训课程，能够在广大中小学进行推广普及，成为学校的标准配置，具有广阔的市场前景，能够创造良好的经济效益。</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高中低</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我校人工智能创新教育示范空间的建设为国内兄弟院校建设人工智能学习空间提供了相关的建设经验，为人工智能领域相关人才的培养和选拔提供了软硬件条件，如自动化直播录播设备可有效减少传统录课过程中的人工成本，降低数字课程制作的成本，逐步体现经济效益。</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7.5</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w:t>
            </w:r>
          </w:p>
        </w:tc>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经济效益指标基本完成，但仍有进步与提升空间。</w:t>
            </w:r>
          </w:p>
        </w:tc>
      </w:tr>
      <w:tr>
        <w:tblPrEx>
          <w:tblCellMar>
            <w:top w:w="0" w:type="dxa"/>
            <w:left w:w="108" w:type="dxa"/>
            <w:bottom w:w="0" w:type="dxa"/>
            <w:right w:w="108" w:type="dxa"/>
          </w:tblCellMar>
        </w:tblPrEx>
        <w:trPr>
          <w:trHeight w:val="26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社会效益指标</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通过建设中小学人工智能创新教育实验室，能够激发广大中小学生对人工智能为代表的高新技术的兴趣，培养未来技术进步的领军人才，满足我国人工智能领域的人才需求。与此同时，在实验室的项目式课程与实践中，还能够培养学生的创新能力和实践能力，增强人工智能技术的应用能力。</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高中低</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 向中小学生普及和推广以人工智能为代表的新技术。通过建设中小学创新教育实验室, 培养面向未来的卓越教师，向中小学生普及和推广以人工智能为代表的新技术。</w:t>
            </w:r>
            <w:r>
              <w:rPr>
                <w:rFonts w:hint="eastAsia" w:ascii="仿宋_GB2312" w:hAnsi="宋体" w:eastAsia="仿宋_GB2312" w:cs="宋体"/>
                <w:color w:val="000000"/>
                <w:kern w:val="0"/>
                <w:sz w:val="18"/>
                <w:szCs w:val="18"/>
              </w:rPr>
              <w:br w:type="textWrapping"/>
            </w:r>
            <w:r>
              <w:rPr>
                <w:rFonts w:hint="eastAsia" w:ascii="仿宋_GB2312" w:hAnsi="宋体" w:eastAsia="仿宋_GB2312" w:cs="宋体"/>
                <w:color w:val="000000"/>
                <w:kern w:val="0"/>
                <w:sz w:val="18"/>
                <w:szCs w:val="18"/>
              </w:rPr>
              <w:t xml:space="preserve">2. 有效促进高素质人才培养。学校借助人工智能等技术开展教学新模式专题课题与项目，为我校教育部基础学科拔尖学生2.0基地人才培养提供平台，推进我校交叉学科建设和“双一流”学科建设水平整体提升，助力“攀登计划”的实施。 </w:t>
            </w:r>
            <w:r>
              <w:rPr>
                <w:rFonts w:hint="eastAsia" w:ascii="仿宋_GB2312" w:hAnsi="宋体" w:eastAsia="仿宋_GB2312" w:cs="宋体"/>
                <w:color w:val="000000"/>
                <w:kern w:val="0"/>
                <w:sz w:val="18"/>
                <w:szCs w:val="18"/>
              </w:rPr>
              <w:br w:type="textWrapping"/>
            </w:r>
            <w:r>
              <w:rPr>
                <w:rFonts w:hint="eastAsia" w:ascii="仿宋_GB2312" w:hAnsi="宋体" w:eastAsia="仿宋_GB2312" w:cs="宋体"/>
                <w:color w:val="000000"/>
                <w:kern w:val="0"/>
                <w:sz w:val="18"/>
                <w:szCs w:val="18"/>
              </w:rPr>
              <w:t>3.服务首都基础教育“双减”。借助实验室完善的设施，为北京区县中小学提供菜单式课后服务。</w:t>
            </w:r>
            <w:r>
              <w:rPr>
                <w:rFonts w:hint="eastAsia" w:ascii="仿宋_GB2312" w:hAnsi="宋体" w:eastAsia="仿宋_GB2312" w:cs="宋体"/>
                <w:color w:val="000000"/>
                <w:kern w:val="0"/>
                <w:sz w:val="18"/>
                <w:szCs w:val="18"/>
              </w:rPr>
              <w:br w:type="textWrapping"/>
            </w:r>
            <w:r>
              <w:rPr>
                <w:rFonts w:hint="eastAsia" w:ascii="仿宋_GB2312" w:hAnsi="宋体" w:eastAsia="仿宋_GB2312" w:cs="宋体"/>
                <w:color w:val="000000"/>
                <w:kern w:val="0"/>
                <w:sz w:val="18"/>
                <w:szCs w:val="18"/>
              </w:rPr>
              <w:t>4．进一步推动“人工智能+教育”在我校落地。助力学校探索基于人工智能技术的教育教学改革，推动人工智能技术与日常教育教学进一步融合。</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7.5</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7.5</w:t>
            </w:r>
          </w:p>
        </w:tc>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无</w:t>
            </w:r>
          </w:p>
        </w:tc>
      </w:tr>
      <w:tr>
        <w:tblPrEx>
          <w:tblCellMar>
            <w:top w:w="0" w:type="dxa"/>
            <w:left w:w="108" w:type="dxa"/>
            <w:bottom w:w="0" w:type="dxa"/>
            <w:right w:w="108" w:type="dxa"/>
          </w:tblCellMar>
        </w:tblPrEx>
        <w:trPr>
          <w:trHeight w:val="2736"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生态效益指标</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人工智能教育是跨学科、综合性知识的应用，通过学生科学研究、技术制作、艺术创作等活动的过程，引导、激发学生的兴趣特长，挖掘学生个性发展的内在需求，培养学生的主动探索精神、批判性思维能力、自主能力、合作研究能力、语言表达能力、艺术创作能力等，从而为培养未来的创新人才奠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高中低</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依托于人工智能教育设备，对培养学生的主动探索精神、批判性思维能力、自主能力、合作研究能力、语言表达能力、艺术创作能力等起到积极作用。开展如环境保护与可持续发展等课程，有利于提升学生环境保护能力素质，为培养生态环保相关领域人才贡献力量。</w:t>
            </w:r>
            <w:r>
              <w:rPr>
                <w:rFonts w:hint="eastAsia" w:ascii="仿宋_GB2312" w:hAnsi="宋体" w:eastAsia="仿宋_GB2312" w:cs="宋体"/>
                <w:color w:val="000000"/>
                <w:kern w:val="0"/>
                <w:sz w:val="18"/>
                <w:szCs w:val="18"/>
              </w:rPr>
              <w:br w:type="textWrapping"/>
            </w:r>
            <w:r>
              <w:rPr>
                <w:rFonts w:hint="eastAsia" w:ascii="仿宋_GB2312" w:hAnsi="宋体" w:eastAsia="仿宋_GB2312" w:cs="宋体"/>
                <w:color w:val="000000"/>
                <w:kern w:val="0"/>
                <w:sz w:val="18"/>
                <w:szCs w:val="18"/>
              </w:rPr>
              <w:t>通过设备购置，建设人工智能创新教育实验室及相关教室，一方面服务相关学科的人才培养，同时服务满足如教学创新大赛、挑战杯、建模比赛等创新活动的开展，为前沿领域人才选拔提供保障。</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7.5</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4.5</w:t>
            </w:r>
          </w:p>
        </w:tc>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指标值设置的不够合理。改进措施：根据项目实际情况，按效益产出分类设置对应的绩效指标，规范各项效益指标设置。</w:t>
            </w:r>
          </w:p>
        </w:tc>
      </w:tr>
      <w:tr>
        <w:trPr>
          <w:trHeight w:val="268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可持续影响指标</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lang w:eastAsia="zh-CN"/>
              </w:rPr>
              <w:t>“十四五”规划</w:t>
            </w:r>
            <w:r>
              <w:rPr>
                <w:rFonts w:hint="eastAsia" w:ascii="仿宋_GB2312" w:hAnsi="宋体" w:eastAsia="仿宋_GB2312" w:cs="宋体"/>
                <w:color w:val="000000"/>
                <w:kern w:val="0"/>
                <w:sz w:val="20"/>
                <w:szCs w:val="20"/>
              </w:rPr>
              <w:t>和2035年远景目标建议中明确指出：“坚持创新在我国现代化建设全局中的核心地位，把科技自立自强作为国家发展的战略支撑”。在建议中，同样明确了“瞄准人工智能、量子信息、集成电路、生命健康、脑科学、生物育种、空天科技、深地深海等前沿领域，实施一批具有前瞻性、战略性的国家重大科技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高中低</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通过设备购置，建设人工智能创新教育实验室及相关教室，一方面服务相关学科的人才培养，同时服务满足如教学创新大赛、挑战杯、建模比赛等创新活动的开展，为前沿领域人才选拔提供保障。</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7.5</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7.5</w:t>
            </w:r>
          </w:p>
        </w:tc>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无</w:t>
            </w:r>
          </w:p>
        </w:tc>
      </w:tr>
      <w:tr>
        <w:tblPrEx>
          <w:tblCellMar>
            <w:top w:w="0" w:type="dxa"/>
            <w:left w:w="108" w:type="dxa"/>
            <w:bottom w:w="0" w:type="dxa"/>
            <w:right w:w="108" w:type="dxa"/>
          </w:tblCellMar>
        </w:tblPrEx>
        <w:trPr>
          <w:trHeight w:val="91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满意度指标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服务对象满意度指标</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师生满意度情况</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≥85%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根据调查问卷及日常教育教学中师生反馈，师生对整体空间环境及室内人工智能创新教育设备状态满意度为90%。</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8</w:t>
            </w:r>
          </w:p>
        </w:tc>
        <w:tc>
          <w:tcPr>
            <w:tcW w:w="245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满意度指标基本完成，但仍有进步与提升空间。</w:t>
            </w:r>
          </w:p>
        </w:tc>
      </w:tr>
      <w:tr>
        <w:tblPrEx>
          <w:tblCellMar>
            <w:top w:w="0" w:type="dxa"/>
            <w:left w:w="108" w:type="dxa"/>
            <w:bottom w:w="0" w:type="dxa"/>
            <w:right w:w="108" w:type="dxa"/>
          </w:tblCellMar>
        </w:tblPrEx>
        <w:trPr>
          <w:trHeight w:val="414" w:hRule="atLeast"/>
          <w:jc w:val="center"/>
        </w:trPr>
        <w:tc>
          <w:tcPr>
            <w:tcW w:w="0" w:type="auto"/>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总分</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100</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 xml:space="preserve">93.44 </w:t>
            </w:r>
          </w:p>
        </w:tc>
        <w:tc>
          <w:tcPr>
            <w:tcW w:w="245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IyYTFhY2FhY2RjN2E2ZjE5YjM5MTEwYTMzNTI3ZmUifQ=="/>
  </w:docVars>
  <w:rsids>
    <w:rsidRoot w:val="00BF638B"/>
    <w:rsid w:val="00241CE0"/>
    <w:rsid w:val="003A7268"/>
    <w:rsid w:val="004F435A"/>
    <w:rsid w:val="009E2768"/>
    <w:rsid w:val="009E4E1E"/>
    <w:rsid w:val="00BF638B"/>
    <w:rsid w:val="73350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5</Pages>
  <Words>448</Words>
  <Characters>2560</Characters>
  <Lines>21</Lines>
  <Paragraphs>6</Paragraphs>
  <TotalTime>6</TotalTime>
  <ScaleCrop>false</ScaleCrop>
  <LinksUpToDate>false</LinksUpToDate>
  <CharactersWithSpaces>3002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2023-05-10T16:11:00Z</dcterms:created>
  <dc:creator>HP</dc:creator>
  <cp:lastModifiedBy>苏坡云☁️</cp:lastModifiedBy>
  <dcterms:modified xsi:type="dcterms:W3CDTF">2024-04-17T06:56:20Z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443E14FED9964365865B452D1B19D003_12</vt:lpwstr>
  </property>
</Properties>
</file>